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様式第５号「工事執行規程第１１条関係」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工事の名称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sz w:val="24"/>
          <w:u w:val="none" w:color="auto"/>
        </w:rPr>
        <w:t>　吉岡町水道事業</w:t>
      </w:r>
      <w:bookmarkStart w:id="0" w:name="_GoBack"/>
      <w:bookmarkEnd w:id="0"/>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3996</TotalTime>
  <Pages>1</Pages>
  <Words>0</Words>
  <Characters>347</Characters>
  <Application>JUST Note</Application>
  <Lines>24</Lines>
  <Paragraphs>13</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2022-10-19T01:13:55Z</cp:lastPrinted>
  <dcterms:modified xsi:type="dcterms:W3CDTF">2022-08-30T03:56:28Z</dcterms:modified>
  <cp:revision>3</cp:revision>
</cp:coreProperties>
</file>